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SEC20260105013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VH3248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罗德（上海）传播有限公司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上海好才通信息科技有限公司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Jiajun Wu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RFMC-RFSH30-ADI2501PS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5500.00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为客户【adidas】提供活动onsite协助、稿件内容撰写等服务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公关写作/新闻稿写作、润色/文案/软文撰写(除KOL及自媒体)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5500.00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总金额：5500.00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5500.00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其他费用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5188.68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5500.00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发票总金额：5500.00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Jiajun Wu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2026-01-05 12:56:09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通过EMail审批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Jasmine Jiang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2026-01-06 17:11:55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635306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