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SEC20250417002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VQ1160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武汉鹊起文化传媒有限公司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Joy Guan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THSH19-PF2500RT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1314.40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代发新闻稿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传统媒体合作（含采访、发稿）/社交媒体(发布平台)/媒体代理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1314.40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总金额：1314.40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1314.40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媒体软文/广告发布费用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1240.00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1314.40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发票总金额：1314.40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Patrick Liu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2025-04-17 13:02:06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542386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