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SEC20240308015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VX1633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深圳市星创传媒科技有限公司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Chloe Li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THSH09-MC2305PT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32126.00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奶铁小红书合作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32126.00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总金额：32126.00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32126.00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30307.55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32126.00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发票总金额：32126.00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Olivian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2024-03-11 12:38:26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Jessica Li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2024-03-11 14:39:07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2024-03-13 15:47:18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89101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