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SEC20230516016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VH3055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江苏虎啸文化传媒有限公司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Ching Huang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THSH08-MCD2308PT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25800.00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申奖与奖杯制作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其他（请详细描述）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25800.00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总金额：25800.00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25800.00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24339.62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25800.00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发票总金额：25800.00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Sylvia Shao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2023-05-17 10:46:47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Sylvia Shao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2023-05-17 10:49:14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2023-05-17 10:55:52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5565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